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121</w:t>
      </w:r>
    </w:p>
    <w:p>
      <w:r>
        <w:t>Bundesgericht (BGE), 2018-02-16, DE</w:t>
      </w:r>
    </w:p>
    <w:p>
      <w:r>
        <w:rPr>
          <w:b/>
        </w:rPr>
        <w:t xml:space="preserve">Quelle: </w:t>
      </w:r>
      <w:r>
        <w:t>https://mcp.opencaselaw.ch/entscheid/bge_144 II 121</w:t>
      </w:r>
    </w:p>
    <w:p>
      <w:r>
        <w:t>FR: ATF 144 II 121</w:t>
      </w:r>
    </w:p>
    <w:p>
      <w:r>
        <w:t>IT: DTF 144 II 121</w:t>
      </w:r>
    </w:p>
    <w:p>
      <w:pPr>
        <w:pStyle w:val="Heading2"/>
      </w:pPr>
      <w:r>
        <w:t>Regeste</w:t>
      </w:r>
    </w:p>
    <w:p>
      <w:r>
        <w:t>Regeste Art. 4 Anhang I FZA i.V.m. Art. 2 Abs. 1 Bst. b der Verordnung (EWG) Nr. 1251/70 der Kommission vom 29. Juni 1970 über das Recht der Arbeitnehmer, nach Beendigung einer Beschäftigung im Hoheitsgebiet eines Mitgliedstaats zu verbleiben; Verbleiberecht bei Aufgabe der Beschäftigung infolge dauernder Arbeitsunfähigkeit. Zur Regelung des Verbleiberechts nach Beendigung der unselbständigen Erwerbstätigkeit operiert Art. 2 der Verordnung Nr. 1251/70 mit zwei Kriterien, die nicht miteinander verknüpft sind: einer bestimmten Aufenthaltsdauer und einer bestimmten Beschäftigungsdauer (E. 3.5.1 und 3.5.2). Sowohl aus dem Wortlaut als auch der Systematik von Art. 2 Abs. 1 Bst. b der Verordnung Nr. 1251/70 ergibt sich, dass das Verbleiberecht bei Aufgabe der Beschäftigung infolge dauernder Arbeitsunfähigkeit einen Aufenthalt von zwei Jahren voraussetzt, jedoch keine Mindestbeschäftigungsdauer. Es genügt, wenn der Wanderarbeitnehmer diesen Status bei Eintritt der dauernden Arbeitsunfähigkeit hat (E. 3.5.3). Vorliegend hielt sich die Betroffene bei Eintritt der dauernden Arbeitsunfähigkeit seit mehr als zwei Jahren rechtmässig in der Schweiz auf und verfügte seit rund einem Jahr über den Arbeitnehmerstatus. Damit sind die Voraussetzungen für ein Verbleiberecht nach Art. 4 Anhang I FZA erfüllt (E. 3.6).</w:t>
      </w:r>
    </w:p>
    <w:p>
      <w:pPr>
        <w:pStyle w:val="Heading2"/>
      </w:pPr>
      <w:r>
        <w:t>Erwägungen</w:t>
      </w:r>
    </w:p>
    <w:p>
      <w:r>
        <w:rPr>
          <w:b/>
        </w:rPr>
        <w:t>E. 3</w:t>
      </w:r>
    </w:p>
    <w:p>
      <w:r>
        <w:t>Die Beschwerdeführerinnen rügen, das angefochtene Urteil verletze Art. 4 Anhang I des Freizügigkeitsabkommens vom 21. Juni 1999 (FZA; SR 0.141.112.681).</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L 142 vom 30. Juni 1970 S. 24 ff.; hiernach: Verordnung Nr. 1251/70]). In Auslegung dieser Grundlagen hat das Bundesgericht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BGE 144 II 121 S. 125 anderen Vertragsstaat zu profitieren (vgl. BGE 141 II 1 E. 2.2.1 S. 4 mit Hinweisen). Die zuständige Behörde kann in diesen SituationenKurzaufenthalts-, EU/EFTA-Aufenthalts- und EU/EFTA-Grenzgängerbewilligungen widerrufen oder nicht verlängern, wenn die Voraussetzungen für deren Erteilung nicht oder nicht mehr erfüllt sind (Art. 23 der Verordnung vom 22. Mai 2002 über die Einführung des freien Personenverkehrs [VEP; SR 142.203]).</w:t>
      </w:r>
    </w:p>
    <w:p>
      <w:r>
        <w:rPr>
          <w:b/>
        </w:rPr>
        <w:t>E. 3.2</w:t>
      </w:r>
    </w:p>
    <w:p>
      <w:r>
        <w:t>Darüber hinaus sieht Art. 4 Abs. 1 Anhang I FZA vor, dass die Staatsangehörigen einer Vertragspartei und ihre Familienangehörigen nach Beendigung ihrer Erwerbstätigkeit ein Recht auf Verbleib im Hoheitsgebiet der anderen Vertragspartei haben. Gemäss Art. 2 Abs. 1 Bst.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Urteil 2C_1034/2016 vom 13. November 2017 E. 2.2 mit Hinweisen; Urteil des EuGH vom 26. Mai 1993 C-171/91 Tsiotras , Slg. 1993 I-2925 Randnr.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(vgl. BGE 141 II 1 E. 4.3.2 S. 13). Wer sich auf ein Verbleiberecht berufen kann, behält seine als Arbeitnehmer erworbenen Rechte und hat insbesondere auch Anspruch auf Sozialhilfe ( BGE 141 II 1 E. 4.1 S. 11).</w:t>
      </w:r>
    </w:p>
    <w:p>
      <w:r>
        <w:rPr>
          <w:b/>
        </w:rPr>
        <w:t>E. 3.3</w:t>
      </w:r>
    </w:p>
    <w:p>
      <w:r>
        <w:t>Vorliegend ist streitig, ob der betreffende Wanderarbeitnehmer während des gesamten in Art. 2 Abs. 1 Bst. b Satz 1 geforderten zweijährigen Aufenthalts die Arbeitnehmereigenschaft besitzen muss oder nicht. Die Vorinstanz ging davon aus, dass bei der in Art. 2 Abs. 1 Bst. b der Verordnung Nr. 1251/70 genannten Aufenthaltsdauer von mindestens zwei Jahren nur der Aufenthalt als Arbeitnehmer zu berücksichtigen sei. Da die Beschwerdeführerin 1 nicht zwei Jahre lang über die Arbeitnehmereigenschaft verfügt habe, könne sie sich nicht auf das Verbleiberecht der Arbeitnehmer berufen. BGE 144 II 121 S. 126 Die Beschwerdeführerinnen machen demgegenüber geltend, die Anwendung der genannten Bestimmung setze lediglich einen Aufenthalt von zwei Jahren voraus, verlange aber nicht, dass der Anspruchsteller während zwei Jahren Arbeitnehmer gewesen sein müsse. Die Auffassung der Vorinstanz verletze somit Art. 4 Anhang I FZA .</w:t>
      </w:r>
    </w:p>
    <w:p>
      <w:r>
        <w:rPr>
          <w:b/>
        </w:rPr>
        <w:t>E. 3.4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mit Hinweisen).</w:t>
      </w:r>
    </w:p>
    <w:p>
      <w:r>
        <w:rPr>
          <w:b/>
        </w:rPr>
        <w:t>E. 3.5</w:t>
      </w:r>
    </w:p>
    <w:p>
      <w:r>
        <w:t>Art. 2 der Verordnung Nr. 1251/70 regelt das Verbleiberecht nach Beendigung der unselbständigen Erwerbstätigkeit in differenzierter Weise, je nachdem, welches der Grund für die Beendigung der Beschäftigung ist, sei es die Erreichung des Rentenalters (Art. 2 Abs. 1 Bst. a), der Eintritt der dauernden Arbeitsunfähigkeit (Art. 2 Abs. 1 Bst. b) oder die Aufgabe der Beschäftigung im Wohnsitzstaat unter Beibehaltung des Wohnsitzes, aber Weiterführung der Beschäftigung in einem anderen Mitgliedstaat (Art. 2 Abs. 1 Bst. c). Bei den jeweiligen Voraussetzungen für die verschiedenen Konstellationen operiert die Verordnung mit zwei Kriterien: einer bestimmten Aufenthaltsdauer und einer bestimmten Beschäftigungsdauer. Wie aus den nachfolgenden Überlegungen hervorgeht, sind diese beiden Kriterien auseinanderzuhalten und nicht miteinander verknüpft.</w:t>
      </w:r>
    </w:p>
    <w:p>
      <w:r>
        <w:rPr>
          <w:b/>
        </w:rPr>
        <w:t>E. 3.5.1</w:t>
      </w:r>
    </w:p>
    <w:p>
      <w:r>
        <w:t>Dies ergibt sich bereits aus Art. 2 Abs. 1 Bst. a der Verordnung Nr. 1251/70: Voraussetzung für das Verbleiberecht bei Aufgabe der Erwerbstätigkeit infolge Eintritts ins Rentenalter ist ein vorausgegangener Mindestaufenthalt von drei Jahren und eine vorausgegangene Beschäftigung von zwölf Monaten. Das Aufenthaltserfordernis von drei Jahren ist somit nicht deckungsgleich mit der Beschäftigungsdauer, sondern davon losgelöst, braucht es doch für das eine drei Jahre und für das andere nur ein Jahr. Das bedeutet, dass beim BGE 144 II 121 S. 127 Eintritt ins Rentenalter eine Arbeitnehmertätigkeit von einem Jahr vorliegen muss. Der vorausgegangene Aufenthalt darf jedoch durchaus auf einem anderen Rechtstitel beruhen und ist nicht zwingend an die Arbeitnehmereigenschaft geknüpft. Das Verbleiberecht bei Aufgabe der Beschäftigung infolge dauernder Arbeitsunfähigkeit erfordert gemäss Art. 2 Abs. 1 Bst. b der Verordnung Nr. 1251/70 eine Mindestaufenthaltsdauer von zwei Jahren. Die Bestimmung sieht jedoch keine Mindestbeschäftigungsdauer vor. Bei Wechsel der Beschäftigung in einen anderen Mitgliedstaat unter Beibehaltung des Wohnsitzes im ersten Staat (Art. 2 Abs. 1 Bst. c) werden drei Jahre Beschäftigung und drei Jahre Aufenthalt vorausgesetzt. Auch hier wird - bei gleicher Dauer - explizit zwischen Beschäftigung und Aufenthalt unterschieden. Wenn der Verordnungsgeber in den Fällen von Bst. a (Rentenalter) und b (dauernde Arbeitsunfähigkeit) eine mit der Aufenthaltsdauer übereinstimmende Beschäftigungsdauer von drei bzw. zwei Jahren hätte voraussetzen wollen, ist davon auszugehen, dass er dies genau so gehandhabt hätte wie in Bst. c. Das hat er aber nicht, sondern zwischen Beschäftigungsdauer und Aufenthaltsdauer differenziert.</w:t>
      </w:r>
    </w:p>
    <w:p>
      <w:r>
        <w:rPr>
          <w:b/>
        </w:rPr>
        <w:t>E. 3.5.2</w:t>
      </w:r>
    </w:p>
    <w:p>
      <w:r>
        <w:t>Eine weitere Bestätigung dafür, dass zwischen Aufenthaltsdauer und Beschäftigungsdauer zu unterscheiden ist und für die Aufenthaltsdauer nicht der Arbeitnehmerstatus vorausgesetzt werden kann, ergibt sich aus Art. 2 Abs. 2 der Verordnung Nr. 1251/70, wo wiederum klar zwischen Dauer des Wohnsitzes und Dauer der Beschäftigung unterschieden wird. Dort wird festgehalten, dass beide für den Fall des Eintritts ins Rentenalter entfallen, wenn der Ehegatte des Arbeitnehmers die Staatsangehörigkeit des betreffenden Mitgliedstaats besitzt oder sie durch Eheschliessung mit dem Arbeitnehmer verloren hat. Für den Fall der dauernden Arbeitsunfähigkeit dagegen wird ausdrücklich nur festgeschrieben, dass die Voraussetzung der Dauer des Wohnsitzes entfällt, nicht aber eine Beschäftigungsdauer, denn eine solche ist - wie sich aus Art. 2 Abs. 1 Bst. b ergibt - ohnehin nicht Voraussetzung.</w:t>
      </w:r>
    </w:p>
    <w:p>
      <w:r>
        <w:rPr>
          <w:b/>
        </w:rPr>
        <w:t>E. 3.5.3</w:t>
      </w:r>
    </w:p>
    <w:p>
      <w:r>
        <w:t>Nach dem Gesagten ergibt sich sowohl aus dem Wortlaut als auch der Systematik von Art. 2 der Verordnung Nr. 1251/70, dass die Aufenthaltsdauer nicht an einen bestimmten Status geknüpft und daher von der Beschäftigungsdauer zu unterscheiden ist. Das Verbleiberecht nach Art. 2 Abs. 1 Bst. b setzt somit einen Aufenthalt von zwei Jahren voraus, hingegen keine Mindestbeschäftigungsdauer. BGE 144 II 121 S. 128 Es genügt, wenn der Wanderarbeitnehmer diesen Status bei Eintritt dauernder Arbeitsunfähigkeit hat. Teleologische Gründe, die für eine Mindestaufenthaltsdauer im Arbeitnehmerstatus sprechen würden, sind keine ersichtlich. Die Verordnung differenziert klar zwischen Beschäftigungsdauer und Wohnsitzdauer. Mit dem Kriterium der Beschäftigungsdauer wird das Erwerbsleben erfasst, wobei nach den Gründen des Ausscheidens differenziert wird. Mit dem Kriterium der Wohnsitzdauer soll dem sozialen Bedürfnis der Wanderarbeitnehmer, nach dem Ausscheiden aus dem Erwerbsleben im gewohnten Lebensumfeld verbleiben zu können, entsprochen werden (vgl. dazu Urteil 2C_1034/2016 vom 13. November 2017 E. 2.2; CHRISTINA SCHNELL, Arbeitnehmerfreizügigkeit in der Schweiz, 2010, S. 160 f.; VIKTOR KREUSCHNITZ, in: Europäisches Unionsrecht, von der Groeben/Schwarze/Hatje [Hrsg.], 7. Aufl. 2015, N. 56 zu Art. 45 AEUV).</w:t>
      </w:r>
    </w:p>
    <w:p>
      <w:r>
        <w:rPr>
          <w:b/>
        </w:rPr>
        <w:t>E. 3.6.1</w:t>
      </w:r>
    </w:p>
    <w:p>
      <w:r>
        <w:t>Die Beschwerdeführerin 1 ist am 20. Juni 2009 in die Schweiz eingereist und erhielt eine bis zum 19. Juni 2010 gültige EU/EFTA-Aufenthaltsbewilligung zu Ausbildungszwecken (Studium der Betriebsökonomie an der Hochschule D.). Am 17. Juni 2010 wurde sie exmatrikuliert. Am 1. September 2010 trat sie in einem Privathaushalt eine Stelle als Haushälterin/Nanny an, woraufhin sie eine bis zum 31. August 2015 gültige Aufenthaltsbewilligung als Erwerbstätige erhielt. Vom 31. Januar bis 31. Oktober 2011 arbeitete sie zudem zehn Stunden pro Woche als Telefon-Operatrice. Das Arbeitsverhältnis im Privathaushalt wurde im Oktober 2011 per 31. Januar 2012 einvernehmlich aufgelöst.</w:t>
      </w:r>
    </w:p>
    <w:p>
      <w:r>
        <w:rPr>
          <w:b/>
        </w:rPr>
        <w:t>E. 3.6.2</w:t>
      </w:r>
    </w:p>
    <w:p>
      <w:r>
        <w:t>Für den Eintritt der dauernden Arbeitsunfähigkeit ist auf die Ergebnisse im invalidenversicherungsrechtlichen Verfahren abzustellen (vgl. BGE 141 II 1 E. 4.2.1 S. 11 f.). Gemäss der Verfügung der IV-Stelle des Kantons Thurgau vom 21. August 2013, auf welche die Vorinstanz verweist, ist die Beschwerdeführerin 1 "seit dem 6. September 2011 (Beginn der einjährigen Wartezeit) in ihrer Arbeitsfähigkeit erheblich eingeschränkt". Aufgrund ihrer schweren Krankheit sei sie "bis auf weiteres für jegliche Art von Erwerbstätigkeit auf dem freien Arbeitsmarkt zu 100 % arbeitsunfähig". Auch den übrigen Akten der IV-Stelle lässt sich entnehmen, dass die Beschwerdeführerin 1 gemäss Arztberichten und Versicherungsakten ab dem 6. September 2011 als arbeitsunfähig eingestuft wurde. Nach BGE 144 II 121 S. 129 Beendigung ihres letzten Arbeitsverhältnisses am 31. Januar 2012 hat sie keine Arbeitstätigkeit mehr aufgenommen.</w:t>
      </w:r>
    </w:p>
    <w:p>
      <w:r>
        <w:rPr>
          <w:b/>
        </w:rPr>
        <w:t>E. 3.6.3</w:t>
      </w:r>
    </w:p>
    <w:p>
      <w:r>
        <w:t>Damit steht fest, dass die Beschwerdeführerin 1 aufgrund ihrer gesundheitlichen Beschwerden seit September 2011 in ihrer Arbeitsfähigkeit in erheblichem Masse beeinträchtigt ist, was zur Aufgabe ihrer Erwerbstätigkeit führte. Folglich kann sie ab September 2011 als dauernd arbeitsunfähig im Sinne von Art. 2 Abs. 1 Bst. b der Verordnung Nr. 1251/70 bezeichnet werden. Zu diesem Zeitpunkt hielt sie sich seit mehr als zwei Jahren rechtmässig in der Schweiz auf (Einreise am 20. Juni 2009), womit die Voraussetzung der Aufenthaltsdauer erfüllt ist. Zudem stand sie im September 2011 seit rund einem Jahr in einem Arbeitsverhältnis (Stellenantritt am 1. September 2010) und verfügte somit bei Eintritt der dauernden Arbeitsunfähigkeit über den Arbeitnehmerstatus. Damit ist auch die zweite Voraussetzung von Art. 2 Abs. 1 Bst. b der Verordnung Nr. 1251/70 erfüllt. Mit Blick auf die oben stehenden Ausführungen steht der Beschwerdeführerin 1 damit ein Verbleiberecht nach Art. 4 Anhang I FZA zu.</w:t>
      </w:r>
    </w:p>
    <w:p>
      <w:r>
        <w:rPr>
          <w:b/>
        </w:rPr>
        <w:t>E. 3.7</w:t>
      </w:r>
    </w:p>
    <w:p>
      <w:r>
        <w:t>Da die Beschwerdeführerin 1 einen Anspruch auf die Verlängerung ihrer Aufenthaltsbewilligung nach FZA hat, steht der Beschwerdeführerin 2 als minderjährige Tochter der Beschwerdeführerin 1 ein abgeleiteter Aufenthaltsanspruch im Rahmen des Familiennachzugs zu (vgl. Art. 3 Anhang I FZA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